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A1CD" w14:textId="7B0CA55F" w:rsidR="00B9140C" w:rsidRPr="00B9140C" w:rsidRDefault="00AD68B6" w:rsidP="00AD68B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918589C" wp14:editId="2F06AE94">
            <wp:simplePos x="0" y="0"/>
            <wp:positionH relativeFrom="margin">
              <wp:posOffset>5124450</wp:posOffset>
            </wp:positionH>
            <wp:positionV relativeFrom="paragraph">
              <wp:posOffset>0</wp:posOffset>
            </wp:positionV>
            <wp:extent cx="921385" cy="772160"/>
            <wp:effectExtent l="0" t="0" r="0" b="8890"/>
            <wp:wrapSquare wrapText="bothSides"/>
            <wp:docPr id="1965402422" name="Picture 1" descr="A logo with colorful line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colorful lines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1C" w:rsidRPr="00F0091C">
        <w:rPr>
          <w:b/>
          <w:bCs/>
        </w:rPr>
        <w:t xml:space="preserve"> </w:t>
      </w:r>
      <w:r w:rsidR="00F0091C">
        <w:rPr>
          <w:b/>
          <w:bCs/>
        </w:rPr>
        <w:t>Watling Street Practice</w:t>
      </w:r>
    </w:p>
    <w:p w14:paraId="09C4BBF9" w14:textId="6FA78C88" w:rsidR="00AD68B6" w:rsidRPr="00B9140C" w:rsidRDefault="00F0091C" w:rsidP="00AD68B6">
      <w:pPr>
        <w:jc w:val="center"/>
        <w:rPr>
          <w:b/>
          <w:bCs/>
        </w:rPr>
      </w:pPr>
      <w:r>
        <w:rPr>
          <w:b/>
          <w:bCs/>
        </w:rPr>
        <w:t>Patient Participation Group</w:t>
      </w:r>
      <w:r w:rsidR="00B9140C" w:rsidRPr="00B9140C">
        <w:rPr>
          <w:b/>
          <w:bCs/>
        </w:rPr>
        <w:t xml:space="preserve"> </w:t>
      </w:r>
      <w:r w:rsidR="00AD68B6">
        <w:rPr>
          <w:b/>
          <w:bCs/>
        </w:rPr>
        <w:t xml:space="preserve">- </w:t>
      </w:r>
      <w:r w:rsidR="00AD68B6" w:rsidRPr="00B9140C">
        <w:rPr>
          <w:b/>
          <w:bCs/>
        </w:rPr>
        <w:t>Terms of Reference</w:t>
      </w:r>
    </w:p>
    <w:p w14:paraId="3F11FD65" w14:textId="5B6BE299" w:rsidR="00B9140C" w:rsidRPr="00B9140C" w:rsidRDefault="00B9140C" w:rsidP="00AD68B6">
      <w:pPr>
        <w:ind w:left="2160" w:firstLine="720"/>
        <w:rPr>
          <w:b/>
          <w:bCs/>
        </w:rPr>
      </w:pPr>
    </w:p>
    <w:p w14:paraId="3032DDF7" w14:textId="5AEE6E06" w:rsidR="00B9140C" w:rsidRDefault="00B9140C" w:rsidP="00B9140C">
      <w:r w:rsidRPr="00B9140C">
        <w:t xml:space="preserve">The Group shall be called the </w:t>
      </w:r>
      <w:r w:rsidR="00AD68B6" w:rsidRPr="00F0091C">
        <w:rPr>
          <w:i/>
          <w:iCs/>
        </w:rPr>
        <w:t>Watling Street Practice</w:t>
      </w:r>
      <w:r w:rsidRPr="00F0091C">
        <w:rPr>
          <w:i/>
          <w:iCs/>
        </w:rPr>
        <w:t xml:space="preserve"> Patient Participation Group</w:t>
      </w:r>
      <w:r w:rsidR="00F0091C">
        <w:t xml:space="preserve"> (WSP PPG)</w:t>
      </w:r>
    </w:p>
    <w:p w14:paraId="4FC6EF24" w14:textId="77777777" w:rsidR="00200078" w:rsidRPr="00B9140C" w:rsidRDefault="00200078" w:rsidP="00B9140C"/>
    <w:p w14:paraId="2A7A1124" w14:textId="215EA5C7" w:rsidR="00B9140C" w:rsidRPr="00B9140C" w:rsidRDefault="00B9140C" w:rsidP="00B9140C">
      <w:pPr>
        <w:rPr>
          <w:b/>
          <w:bCs/>
        </w:rPr>
      </w:pPr>
      <w:r w:rsidRPr="00B9140C">
        <w:rPr>
          <w:b/>
          <w:bCs/>
        </w:rPr>
        <w:t>1. Aims of the</w:t>
      </w:r>
      <w:r w:rsidR="00AD68B6" w:rsidRPr="00AD68B6">
        <w:rPr>
          <w:b/>
          <w:bCs/>
        </w:rPr>
        <w:t xml:space="preserve"> </w:t>
      </w:r>
      <w:r w:rsidR="00F0091C">
        <w:rPr>
          <w:b/>
          <w:bCs/>
        </w:rPr>
        <w:t>WSP PPG</w:t>
      </w:r>
    </w:p>
    <w:p w14:paraId="0BC67277" w14:textId="30095EB3" w:rsidR="00B9140C" w:rsidRPr="00B9140C" w:rsidRDefault="00B9140C" w:rsidP="00B9140C">
      <w:r w:rsidRPr="00F0091C">
        <w:rPr>
          <w:b/>
          <w:bCs/>
        </w:rPr>
        <w:t>1.1</w:t>
      </w:r>
      <w:r w:rsidRPr="00B9140C">
        <w:t xml:space="preserve"> To </w:t>
      </w:r>
      <w:r w:rsidR="00F0091C">
        <w:t>foster positive</w:t>
      </w:r>
      <w:r w:rsidRPr="00B9140C">
        <w:t xml:space="preserve"> relations between the practice (referred to as the 'practice' throughout this</w:t>
      </w:r>
      <w:r w:rsidR="00200078">
        <w:t xml:space="preserve"> </w:t>
      </w:r>
      <w:r w:rsidRPr="00B9140C">
        <w:t xml:space="preserve">document) and </w:t>
      </w:r>
      <w:r w:rsidR="00F0091C">
        <w:t xml:space="preserve">its </w:t>
      </w:r>
      <w:r w:rsidRPr="00B9140C">
        <w:t xml:space="preserve">patients by </w:t>
      </w:r>
      <w:r w:rsidR="00F0091C">
        <w:t>sharing</w:t>
      </w:r>
      <w:r w:rsidRPr="00B9140C">
        <w:t xml:space="preserve"> patient experience, interests and concerns and</w:t>
      </w:r>
      <w:r w:rsidR="00200078">
        <w:t xml:space="preserve"> </w:t>
      </w:r>
      <w:r w:rsidRPr="00B9140C">
        <w:t xml:space="preserve">providing feedback on current </w:t>
      </w:r>
      <w:r w:rsidR="00F0091C">
        <w:t>services</w:t>
      </w:r>
      <w:r w:rsidRPr="00B9140C">
        <w:t xml:space="preserve"> and proposed</w:t>
      </w:r>
      <w:r w:rsidR="00F0091C">
        <w:t xml:space="preserve"> </w:t>
      </w:r>
      <w:r w:rsidRPr="00B9140C">
        <w:t>developments.</w:t>
      </w:r>
    </w:p>
    <w:p w14:paraId="4BC222ED" w14:textId="36C7D716" w:rsidR="00B9140C" w:rsidRPr="00B9140C" w:rsidRDefault="00B9140C" w:rsidP="00B9140C">
      <w:r w:rsidRPr="00F0091C">
        <w:rPr>
          <w:b/>
          <w:bCs/>
        </w:rPr>
        <w:t>1.2</w:t>
      </w:r>
      <w:r w:rsidRPr="00B9140C">
        <w:t xml:space="preserve"> To work collaboratively and positively with the practice to improve services and facilities</w:t>
      </w:r>
      <w:r w:rsidR="00F0091C">
        <w:t xml:space="preserve">, </w:t>
      </w:r>
      <w:r w:rsidRPr="00B9140C">
        <w:t>act</w:t>
      </w:r>
      <w:r w:rsidR="00F0091C">
        <w:t>ing</w:t>
      </w:r>
      <w:r w:rsidRPr="00B9140C">
        <w:t xml:space="preserve"> as a sounding board </w:t>
      </w:r>
      <w:r w:rsidR="00F0091C">
        <w:t>on patient related matters</w:t>
      </w:r>
    </w:p>
    <w:p w14:paraId="57593560" w14:textId="4B0AFBED" w:rsidR="00B9140C" w:rsidRPr="00B9140C" w:rsidRDefault="00B9140C" w:rsidP="00B9140C">
      <w:r w:rsidRPr="00F0091C">
        <w:rPr>
          <w:b/>
          <w:bCs/>
        </w:rPr>
        <w:t>1.3</w:t>
      </w:r>
      <w:r w:rsidRPr="00B9140C">
        <w:t xml:space="preserve"> To </w:t>
      </w:r>
      <w:r w:rsidR="00F0091C">
        <w:t>promote</w:t>
      </w:r>
      <w:r w:rsidRPr="00B9140C">
        <w:t xml:space="preserve"> two-way communication and co-operation between the practice and patients, other</w:t>
      </w:r>
      <w:r w:rsidR="00200078">
        <w:t xml:space="preserve"> </w:t>
      </w:r>
      <w:r w:rsidRPr="00B9140C">
        <w:t>individuals and organisations in healthcare, and the wider community</w:t>
      </w:r>
    </w:p>
    <w:p w14:paraId="7AE729BC" w14:textId="3F33D0F6" w:rsidR="00B9140C" w:rsidRDefault="00B9140C" w:rsidP="00B9140C">
      <w:r w:rsidRPr="00F0091C">
        <w:rPr>
          <w:b/>
          <w:bCs/>
        </w:rPr>
        <w:t>1.4</w:t>
      </w:r>
      <w:r w:rsidRPr="00B9140C">
        <w:t xml:space="preserve"> To </w:t>
      </w:r>
      <w:r w:rsidR="00F0091C">
        <w:t>represent patients in influencing local health and social care provision</w:t>
      </w:r>
    </w:p>
    <w:p w14:paraId="01A34191" w14:textId="77777777" w:rsidR="00200078" w:rsidRPr="00B9140C" w:rsidRDefault="00200078" w:rsidP="00B9140C"/>
    <w:p w14:paraId="113916BF" w14:textId="75DA2987" w:rsidR="00B9140C" w:rsidRPr="00B9140C" w:rsidRDefault="00B9140C" w:rsidP="00B9140C">
      <w:pPr>
        <w:rPr>
          <w:b/>
          <w:bCs/>
        </w:rPr>
      </w:pPr>
      <w:r w:rsidRPr="00B9140C">
        <w:rPr>
          <w:b/>
          <w:bCs/>
        </w:rPr>
        <w:t>2. Structure and Membership</w:t>
      </w:r>
    </w:p>
    <w:p w14:paraId="0E852966" w14:textId="70D181E4" w:rsidR="00AD68B6" w:rsidRDefault="00B9140C" w:rsidP="00B9140C">
      <w:r w:rsidRPr="00F0091C">
        <w:rPr>
          <w:b/>
          <w:bCs/>
        </w:rPr>
        <w:t>2.1</w:t>
      </w:r>
      <w:r w:rsidRPr="00B9140C">
        <w:t xml:space="preserve"> </w:t>
      </w:r>
      <w:r w:rsidR="00F0091C" w:rsidRPr="00F0091C">
        <w:rPr>
          <w:b/>
          <w:bCs/>
        </w:rPr>
        <w:t>Membership Categories</w:t>
      </w:r>
    </w:p>
    <w:p w14:paraId="039AEB30" w14:textId="61C0C17A" w:rsidR="00B9140C" w:rsidRDefault="00AD68B6" w:rsidP="00AD68B6">
      <w:pPr>
        <w:ind w:firstLine="720"/>
      </w:pPr>
      <w:r w:rsidRPr="00F0091C">
        <w:rPr>
          <w:b/>
          <w:bCs/>
        </w:rPr>
        <w:t>Core Members</w:t>
      </w:r>
      <w:r>
        <w:t xml:space="preserve"> – Will be restricted to</w:t>
      </w:r>
      <w:r w:rsidR="00B9140C" w:rsidRPr="00B9140C">
        <w:t xml:space="preserve"> 20 people</w:t>
      </w:r>
    </w:p>
    <w:p w14:paraId="3C95819B" w14:textId="3E58F337" w:rsidR="00AD68B6" w:rsidRPr="00B9140C" w:rsidRDefault="00AD68B6" w:rsidP="00AD68B6">
      <w:pPr>
        <w:ind w:firstLine="720"/>
      </w:pPr>
      <w:r w:rsidRPr="00F0091C">
        <w:rPr>
          <w:b/>
          <w:bCs/>
        </w:rPr>
        <w:t>Associate members</w:t>
      </w:r>
      <w:r>
        <w:t xml:space="preserve"> – </w:t>
      </w:r>
      <w:r w:rsidR="00F0091C">
        <w:t>Unlimited number, forming the Associate patient participation Group (APPG)</w:t>
      </w:r>
    </w:p>
    <w:p w14:paraId="37B9849F" w14:textId="5046A47C" w:rsidR="00F2525B" w:rsidRDefault="00B9140C" w:rsidP="00B9140C">
      <w:r w:rsidRPr="00B9140C">
        <w:t xml:space="preserve">All registered patients </w:t>
      </w:r>
      <w:r w:rsidR="00F0091C">
        <w:t>may</w:t>
      </w:r>
      <w:r w:rsidRPr="00B9140C">
        <w:t xml:space="preserve"> apply for membership of the </w:t>
      </w:r>
      <w:r w:rsidR="00F0091C">
        <w:t>WSP</w:t>
      </w:r>
      <w:r w:rsidR="00200078">
        <w:t xml:space="preserve"> </w:t>
      </w:r>
      <w:r w:rsidRPr="00B9140C">
        <w:t xml:space="preserve">PPG. </w:t>
      </w:r>
      <w:r w:rsidR="00F0091C">
        <w:t>P</w:t>
      </w:r>
      <w:r w:rsidRPr="00B9140C">
        <w:t>atient</w:t>
      </w:r>
      <w:r w:rsidR="00F0091C">
        <w:t>s removed</w:t>
      </w:r>
      <w:r w:rsidRPr="00B9140C">
        <w:t xml:space="preserve"> from the </w:t>
      </w:r>
      <w:r w:rsidR="00F0091C" w:rsidRPr="00B9140C">
        <w:t>p</w:t>
      </w:r>
      <w:r w:rsidR="00F0091C">
        <w:t>ractice</w:t>
      </w:r>
      <w:r w:rsidRPr="00B9140C">
        <w:t xml:space="preserve"> list will </w:t>
      </w:r>
      <w:r w:rsidR="00F0091C">
        <w:t xml:space="preserve">automatically </w:t>
      </w:r>
      <w:r w:rsidRPr="00B9140C">
        <w:t>cease to be a member</w:t>
      </w:r>
      <w:r w:rsidR="00F0091C">
        <w:t>s</w:t>
      </w:r>
    </w:p>
    <w:p w14:paraId="48EFA889" w14:textId="15A11BE0" w:rsidR="00F0091C" w:rsidRPr="00F0091C" w:rsidRDefault="00F0091C" w:rsidP="00F0091C">
      <w:pPr>
        <w:rPr>
          <w:b/>
          <w:bCs/>
        </w:rPr>
      </w:pPr>
      <w:r>
        <w:rPr>
          <w:b/>
          <w:bCs/>
        </w:rPr>
        <w:t>2</w:t>
      </w:r>
      <w:r w:rsidRPr="00F0091C">
        <w:rPr>
          <w:b/>
          <w:bCs/>
        </w:rPr>
        <w:t>.2 Application Process</w:t>
      </w:r>
    </w:p>
    <w:p w14:paraId="2D216B8F" w14:textId="7F145B0E" w:rsidR="00F0091C" w:rsidRPr="00F0091C" w:rsidRDefault="00F0091C" w:rsidP="00F0091C">
      <w:r w:rsidRPr="00F0091C">
        <w:t>Applicants may indicate a preference to be a Core Member and, if desired, express willingness to take on a Committee role</w:t>
      </w:r>
      <w:r w:rsidR="00991E0B">
        <w:t xml:space="preserve"> </w:t>
      </w:r>
      <w:r w:rsidR="00991E0B" w:rsidRPr="00991E0B">
        <w:t xml:space="preserve">i.e.by indicating which roles they are prepared to fulfil. </w:t>
      </w:r>
      <w:r w:rsidRPr="00F0091C">
        <w:t>The practice will prioritise ensuring at least two candidates are willing to take on each Committee role before filling remaining Core Member spaces.</w:t>
      </w:r>
    </w:p>
    <w:p w14:paraId="762813FA" w14:textId="77777777" w:rsidR="00F0091C" w:rsidRPr="00F0091C" w:rsidRDefault="00F0091C" w:rsidP="00F0091C">
      <w:r w:rsidRPr="00F0091C">
        <w:t>If applications exceed 20, Core Members will be selected by random draw. Others will be placed on a waiting list.</w:t>
      </w:r>
    </w:p>
    <w:p w14:paraId="7A936583" w14:textId="69CC4C03" w:rsidR="00F0091C" w:rsidRPr="00F0091C" w:rsidRDefault="00F0091C" w:rsidP="00F0091C">
      <w:pPr>
        <w:rPr>
          <w:b/>
          <w:bCs/>
        </w:rPr>
      </w:pPr>
      <w:r>
        <w:rPr>
          <w:b/>
          <w:bCs/>
        </w:rPr>
        <w:t>2</w:t>
      </w:r>
      <w:r w:rsidRPr="00F0091C">
        <w:rPr>
          <w:b/>
          <w:bCs/>
        </w:rPr>
        <w:t>.3 Terms of Membership</w:t>
      </w:r>
    </w:p>
    <w:p w14:paraId="03AA50FF" w14:textId="77777777" w:rsidR="00F0091C" w:rsidRDefault="00F0091C" w:rsidP="00F0091C">
      <w:pPr>
        <w:numPr>
          <w:ilvl w:val="0"/>
          <w:numId w:val="5"/>
        </w:numPr>
      </w:pPr>
      <w:r w:rsidRPr="00F0091C">
        <w:lastRenderedPageBreak/>
        <w:t>Core Members will serve a term of three years and may reapply upon term completion.</w:t>
      </w:r>
    </w:p>
    <w:p w14:paraId="60C20D36" w14:textId="324BCEA8" w:rsidR="00991E0B" w:rsidRPr="00F0091C" w:rsidRDefault="00991E0B" w:rsidP="00F0091C">
      <w:pPr>
        <w:numPr>
          <w:ilvl w:val="0"/>
          <w:numId w:val="5"/>
        </w:numPr>
      </w:pPr>
      <w:r>
        <w:t>The membership year will run between January to December</w:t>
      </w:r>
    </w:p>
    <w:p w14:paraId="37F20A99" w14:textId="77777777" w:rsidR="00F0091C" w:rsidRPr="00F0091C" w:rsidRDefault="00F0091C" w:rsidP="00F0091C">
      <w:pPr>
        <w:numPr>
          <w:ilvl w:val="0"/>
          <w:numId w:val="5"/>
        </w:numPr>
      </w:pPr>
      <w:r w:rsidRPr="00F0091C">
        <w:t>Members joining mid-cycle may be required to reapply earlier to maintain rotation.</w:t>
      </w:r>
    </w:p>
    <w:p w14:paraId="5B8D5FC1" w14:textId="77777777" w:rsidR="00F0091C" w:rsidRPr="00F0091C" w:rsidRDefault="00F0091C" w:rsidP="00F0091C">
      <w:pPr>
        <w:numPr>
          <w:ilvl w:val="0"/>
          <w:numId w:val="5"/>
        </w:numPr>
      </w:pPr>
      <w:r w:rsidRPr="00F0091C">
        <w:t>Members absent for three consecutive meetings without contact may be deemed to have resigned.</w:t>
      </w:r>
    </w:p>
    <w:p w14:paraId="599F5697" w14:textId="77777777" w:rsidR="00F0091C" w:rsidRPr="00F0091C" w:rsidRDefault="00F0091C" w:rsidP="00F0091C">
      <w:pPr>
        <w:numPr>
          <w:ilvl w:val="0"/>
          <w:numId w:val="5"/>
        </w:numPr>
      </w:pPr>
      <w:r w:rsidRPr="00F0091C">
        <w:t>The PPG may co-opt individuals from the waiting list to maintain representation and diversity.</w:t>
      </w:r>
    </w:p>
    <w:p w14:paraId="50C9B2C6" w14:textId="06293216" w:rsidR="00F0091C" w:rsidRPr="00F0091C" w:rsidRDefault="00F0091C" w:rsidP="00F0091C">
      <w:pPr>
        <w:rPr>
          <w:b/>
          <w:bCs/>
        </w:rPr>
      </w:pPr>
      <w:r>
        <w:rPr>
          <w:b/>
          <w:bCs/>
        </w:rPr>
        <w:t>2</w:t>
      </w:r>
      <w:r w:rsidRPr="00F0091C">
        <w:rPr>
          <w:b/>
          <w:bCs/>
        </w:rPr>
        <w:t>.4 Committee Roles</w:t>
      </w:r>
    </w:p>
    <w:p w14:paraId="64DC408D" w14:textId="6510C254" w:rsidR="00F0091C" w:rsidRPr="00F0091C" w:rsidRDefault="00F0091C" w:rsidP="00F0091C">
      <w:r w:rsidRPr="00F0091C">
        <w:t>The Committee, elected from Core Members, will include a Chair, Vice Chair, Secretary</w:t>
      </w:r>
      <w:r w:rsidR="00FE7D8C">
        <w:t xml:space="preserve"> and APPG Liaison</w:t>
      </w:r>
      <w:r w:rsidRPr="00F0091C">
        <w:t>. Additional roles may be proposed and approved at the Annual General Meeting.</w:t>
      </w:r>
    </w:p>
    <w:p w14:paraId="70A54D44" w14:textId="606EF6B8" w:rsidR="00F0091C" w:rsidRPr="00F0091C" w:rsidRDefault="00F0091C" w:rsidP="00F0091C">
      <w:pPr>
        <w:rPr>
          <w:b/>
          <w:bCs/>
        </w:rPr>
      </w:pPr>
      <w:r>
        <w:rPr>
          <w:b/>
          <w:bCs/>
        </w:rPr>
        <w:t>2</w:t>
      </w:r>
      <w:r w:rsidRPr="00F0091C">
        <w:rPr>
          <w:b/>
          <w:bCs/>
        </w:rPr>
        <w:t>.5 Removal of Members</w:t>
      </w:r>
    </w:p>
    <w:p w14:paraId="10922710" w14:textId="77777777" w:rsidR="00F0091C" w:rsidRPr="00F0091C" w:rsidRDefault="00F0091C" w:rsidP="00F0091C">
      <w:r w:rsidRPr="00F0091C">
        <w:t>Core Members may be removed following a warning if they breach the Code of Conduct (Appendix 1), subject to agreement by the Chair and nominated Practice Representative.</w:t>
      </w:r>
    </w:p>
    <w:p w14:paraId="5CCC71E2" w14:textId="77777777" w:rsidR="00AD68B6" w:rsidRPr="00B9140C" w:rsidRDefault="00AD68B6" w:rsidP="00B9140C"/>
    <w:p w14:paraId="009A9D4A" w14:textId="263C6601" w:rsidR="00F0091C" w:rsidRPr="00F0091C" w:rsidRDefault="00F0091C" w:rsidP="00F0091C">
      <w:pPr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F0091C">
        <w:rPr>
          <w:b/>
          <w:bCs/>
          <w:i/>
          <w:iCs/>
        </w:rPr>
        <w:t>. Associate Patient Participation Group (APPG)</w:t>
      </w:r>
    </w:p>
    <w:p w14:paraId="4690C7E5" w14:textId="135F7460" w:rsidR="00F0091C" w:rsidRPr="00F0091C" w:rsidRDefault="00F0091C" w:rsidP="00F0091C">
      <w:r>
        <w:rPr>
          <w:i/>
          <w:iCs/>
        </w:rPr>
        <w:t>3</w:t>
      </w:r>
      <w:r w:rsidRPr="00F0091C">
        <w:t>.1 The APPG will be an online group open to all patients. It will be used to extend engagement and gather views on specific issues.</w:t>
      </w:r>
    </w:p>
    <w:p w14:paraId="3B5175E2" w14:textId="369FBFC7" w:rsidR="00F0091C" w:rsidRPr="00F0091C" w:rsidRDefault="00F0091C" w:rsidP="00F0091C">
      <w:r>
        <w:t>3</w:t>
      </w:r>
      <w:r w:rsidRPr="00F0091C">
        <w:t>.2 A Core Member will be designated to liaise with the APPG and ensure inclusivity. APPG feedback will be included as a standing item on PPG meeting agendas.</w:t>
      </w:r>
    </w:p>
    <w:p w14:paraId="3F242E4D" w14:textId="2311A275" w:rsidR="00F0091C" w:rsidRPr="00F0091C" w:rsidRDefault="00F0091C" w:rsidP="00F0091C">
      <w:r>
        <w:t>3</w:t>
      </w:r>
      <w:r w:rsidRPr="00F0091C">
        <w:t>.3 APPG members are subject to the same Code of Conduct as Core Members.</w:t>
      </w:r>
    </w:p>
    <w:p w14:paraId="6A111996" w14:textId="035ED3FC" w:rsidR="00F0091C" w:rsidRPr="00F0091C" w:rsidRDefault="00F0091C" w:rsidP="00F0091C">
      <w:r>
        <w:t>3</w:t>
      </w:r>
      <w:r w:rsidRPr="00F0091C">
        <w:t>.4 A central email address will be provided for communication, with access granted to nominated PPG members.</w:t>
      </w:r>
    </w:p>
    <w:p w14:paraId="2D0F72A0" w14:textId="105B7CEC" w:rsidR="00F0091C" w:rsidRPr="00F0091C" w:rsidRDefault="00F0091C" w:rsidP="00F0091C">
      <w:r>
        <w:t>3</w:t>
      </w:r>
      <w:r w:rsidRPr="00F0091C">
        <w:t>.5 By joining the PPG or APPG, members consent to their email address being shared with other Core Members for communication purposes only.</w:t>
      </w:r>
    </w:p>
    <w:p w14:paraId="0E88F6B7" w14:textId="77777777" w:rsidR="00AD68B6" w:rsidRDefault="00AD68B6" w:rsidP="00B9140C">
      <w:pPr>
        <w:rPr>
          <w:b/>
          <w:bCs/>
        </w:rPr>
      </w:pPr>
    </w:p>
    <w:p w14:paraId="23BE5CAB" w14:textId="77777777" w:rsidR="00F0091C" w:rsidRPr="00F0091C" w:rsidRDefault="00F0091C" w:rsidP="00F0091C">
      <w:pPr>
        <w:rPr>
          <w:b/>
          <w:bCs/>
        </w:rPr>
      </w:pPr>
      <w:r w:rsidRPr="00F0091C">
        <w:rPr>
          <w:b/>
          <w:bCs/>
        </w:rPr>
        <w:t>Appendix 1 – Code of Conduct</w:t>
      </w:r>
    </w:p>
    <w:p w14:paraId="58F5D1BA" w14:textId="77777777" w:rsidR="00F0091C" w:rsidRPr="00F0091C" w:rsidRDefault="00F0091C" w:rsidP="00F0091C">
      <w:r w:rsidRPr="00F0091C">
        <w:t>The PPG is a non-political, non-sectarian group, open to all, and committed to diversity and inclusion as outlined in the Equality Act.</w:t>
      </w:r>
    </w:p>
    <w:p w14:paraId="697BC2F4" w14:textId="77777777" w:rsidR="00F0091C" w:rsidRPr="00F0091C" w:rsidRDefault="00F0091C" w:rsidP="00F0091C">
      <w:r w:rsidRPr="00F0091C">
        <w:lastRenderedPageBreak/>
        <w:t>All PPG and APPG members agree to:</w:t>
      </w:r>
    </w:p>
    <w:p w14:paraId="4BF30A8B" w14:textId="77777777" w:rsidR="00F0091C" w:rsidRPr="00F0091C" w:rsidRDefault="00F0091C" w:rsidP="00F0091C">
      <w:r w:rsidRPr="00F0091C">
        <w:t>A. Not use the PPG to raise personal complaints—these should be handled via appropriate channels.</w:t>
      </w:r>
      <w:r w:rsidRPr="00F0091C">
        <w:br/>
        <w:t>B. Treat others with respect and act in the interests of all patients.</w:t>
      </w:r>
      <w:r w:rsidRPr="00F0091C">
        <w:br/>
        <w:t>C. Be open, flexible, and supportive.</w:t>
      </w:r>
      <w:r w:rsidRPr="00F0091C">
        <w:br/>
        <w:t>D. Adhere to the Nolan Principles of Public Life:</w:t>
      </w:r>
    </w:p>
    <w:p w14:paraId="69B5AF8C" w14:textId="77777777" w:rsidR="008A6D90" w:rsidRPr="008A6D90" w:rsidRDefault="00F0091C" w:rsidP="00F0091C">
      <w:pPr>
        <w:numPr>
          <w:ilvl w:val="0"/>
          <w:numId w:val="6"/>
        </w:numPr>
      </w:pPr>
      <w:r w:rsidRPr="00F0091C">
        <w:rPr>
          <w:i/>
          <w:iCs/>
        </w:rPr>
        <w:t>Selflessness, Integrity, Objectivity, Accountability, Openness, Honesty, Leadership.</w:t>
      </w:r>
    </w:p>
    <w:p w14:paraId="45E852A8" w14:textId="1D6BE665" w:rsidR="00F0091C" w:rsidRPr="00F0091C" w:rsidRDefault="00F0091C" w:rsidP="008A6D90">
      <w:r w:rsidRPr="00F0091C">
        <w:t>E. Respect patient and practice confidentiality.</w:t>
      </w:r>
      <w:r w:rsidRPr="00F0091C">
        <w:br/>
        <w:t>F. Accept the Chair’s ruling on meeting conduct.</w:t>
      </w:r>
      <w:r w:rsidRPr="00F0091C">
        <w:br/>
        <w:t xml:space="preserve">G. Notify the </w:t>
      </w:r>
      <w:r w:rsidR="008A6D90">
        <w:t>Secretary</w:t>
      </w:r>
      <w:r w:rsidRPr="00F0091C">
        <w:t xml:space="preserve"> in advance if unable to attend a meeting (Core Members).</w:t>
      </w:r>
    </w:p>
    <w:p w14:paraId="7CB7E0E7" w14:textId="77777777" w:rsidR="00F0091C" w:rsidRPr="00F0091C" w:rsidRDefault="00F0091C" w:rsidP="00F0091C">
      <w:r w:rsidRPr="00F0091C">
        <w:t>Additional expectations for good meeting conduct:</w:t>
      </w:r>
    </w:p>
    <w:p w14:paraId="353BF102" w14:textId="77777777" w:rsidR="00F0091C" w:rsidRPr="00F0091C" w:rsidRDefault="00F0091C" w:rsidP="00F0091C">
      <w:pPr>
        <w:numPr>
          <w:ilvl w:val="0"/>
          <w:numId w:val="7"/>
        </w:numPr>
      </w:pPr>
      <w:r w:rsidRPr="00F0091C">
        <w:t>Read papers in advance.</w:t>
      </w:r>
    </w:p>
    <w:p w14:paraId="5799B391" w14:textId="77777777" w:rsidR="00F0091C" w:rsidRPr="00F0091C" w:rsidRDefault="00F0091C" w:rsidP="00F0091C">
      <w:pPr>
        <w:numPr>
          <w:ilvl w:val="0"/>
          <w:numId w:val="7"/>
        </w:numPr>
      </w:pPr>
      <w:r w:rsidRPr="00F0091C">
        <w:t>Arrive on time.</w:t>
      </w:r>
    </w:p>
    <w:p w14:paraId="3E8A9359" w14:textId="77777777" w:rsidR="00F0091C" w:rsidRPr="00F0091C" w:rsidRDefault="00F0091C" w:rsidP="00F0091C">
      <w:pPr>
        <w:numPr>
          <w:ilvl w:val="0"/>
          <w:numId w:val="7"/>
        </w:numPr>
      </w:pPr>
      <w:r w:rsidRPr="00F0091C">
        <w:t>Silence mobile phones.</w:t>
      </w:r>
    </w:p>
    <w:p w14:paraId="654396B8" w14:textId="77777777" w:rsidR="00F0091C" w:rsidRPr="00F0091C" w:rsidRDefault="00F0091C" w:rsidP="00F0091C">
      <w:pPr>
        <w:numPr>
          <w:ilvl w:val="0"/>
          <w:numId w:val="7"/>
        </w:numPr>
      </w:pPr>
      <w:r w:rsidRPr="00F0091C">
        <w:t>Allow others to speak and be heard.</w:t>
      </w:r>
    </w:p>
    <w:p w14:paraId="6CFA056E" w14:textId="77777777" w:rsidR="00F0091C" w:rsidRPr="00F0091C" w:rsidRDefault="00991E0B" w:rsidP="00F0091C">
      <w:pPr>
        <w:rPr>
          <w:b/>
          <w:bCs/>
        </w:rPr>
      </w:pPr>
      <w:r>
        <w:rPr>
          <w:b/>
          <w:bCs/>
        </w:rPr>
        <w:pict w14:anchorId="2AC6B299">
          <v:rect id="_x0000_i1025" style="width:0;height:1.5pt" o:hralign="center" o:hrstd="t" o:hr="t" fillcolor="#a0a0a0" stroked="f"/>
        </w:pict>
      </w:r>
    </w:p>
    <w:p w14:paraId="4EAF3F13" w14:textId="77777777" w:rsidR="00F0091C" w:rsidRPr="00F0091C" w:rsidRDefault="00F0091C" w:rsidP="00F0091C">
      <w:pPr>
        <w:rPr>
          <w:b/>
          <w:bCs/>
        </w:rPr>
      </w:pPr>
      <w:r w:rsidRPr="00F0091C">
        <w:rPr>
          <w:b/>
          <w:bCs/>
        </w:rPr>
        <w:t>Appendix 2 – Meeting Structure</w:t>
      </w:r>
    </w:p>
    <w:p w14:paraId="038EA810" w14:textId="12D20F15" w:rsidR="00F0091C" w:rsidRDefault="00F0091C" w:rsidP="00F0091C">
      <w:pPr>
        <w:pStyle w:val="ListParagraph"/>
        <w:numPr>
          <w:ilvl w:val="0"/>
          <w:numId w:val="8"/>
        </w:numPr>
      </w:pPr>
      <w:r w:rsidRPr="00F0091C">
        <w:t>Meetings will follow a structured agenda published on the practice website.</w:t>
      </w:r>
    </w:p>
    <w:p w14:paraId="2C1B7320" w14:textId="77777777" w:rsidR="00F0091C" w:rsidRPr="00F0091C" w:rsidRDefault="00F0091C" w:rsidP="00F0091C">
      <w:pPr>
        <w:pStyle w:val="ListParagraph"/>
        <w:numPr>
          <w:ilvl w:val="0"/>
          <w:numId w:val="8"/>
        </w:numPr>
        <w:rPr>
          <w:b/>
          <w:bCs/>
        </w:rPr>
      </w:pPr>
      <w:r>
        <w:t>Meeting length will be no more than 90 minutes</w:t>
      </w:r>
    </w:p>
    <w:p w14:paraId="0FC22897" w14:textId="0C2E48EE" w:rsidR="00F0091C" w:rsidRPr="00F0091C" w:rsidRDefault="00F0091C" w:rsidP="00F0091C">
      <w:pPr>
        <w:pStyle w:val="ListParagraph"/>
        <w:numPr>
          <w:ilvl w:val="0"/>
          <w:numId w:val="8"/>
        </w:numPr>
        <w:rPr>
          <w:b/>
          <w:bCs/>
        </w:rPr>
      </w:pPr>
      <w:r w:rsidRPr="00F0091C">
        <w:t xml:space="preserve">Summary notes (actions and updates) will be published </w:t>
      </w:r>
      <w:r>
        <w:t xml:space="preserve">online </w:t>
      </w:r>
      <w:r w:rsidRPr="00F0091C">
        <w:t>post-review by the Chair.</w:t>
      </w:r>
    </w:p>
    <w:p w14:paraId="6F39EBFA" w14:textId="4B1E26E8" w:rsidR="00F0091C" w:rsidRPr="00F0091C" w:rsidRDefault="00F0091C" w:rsidP="00F0091C">
      <w:pPr>
        <w:pStyle w:val="ListParagraph"/>
        <w:numPr>
          <w:ilvl w:val="0"/>
          <w:numId w:val="8"/>
        </w:numPr>
        <w:rPr>
          <w:b/>
          <w:bCs/>
        </w:rPr>
      </w:pPr>
      <w:r w:rsidRPr="00F0091C">
        <w:t>Previous meeting notes will be reviewed at the next meeting.</w:t>
      </w:r>
    </w:p>
    <w:p w14:paraId="72EE5532" w14:textId="6189AFC0" w:rsidR="00F0091C" w:rsidRPr="00991E0B" w:rsidRDefault="00F0091C" w:rsidP="00F0091C">
      <w:pPr>
        <w:pStyle w:val="ListParagraph"/>
        <w:numPr>
          <w:ilvl w:val="0"/>
          <w:numId w:val="8"/>
        </w:numPr>
        <w:rPr>
          <w:b/>
          <w:bCs/>
        </w:rPr>
      </w:pPr>
      <w:r w:rsidRPr="00F0091C">
        <w:t>Meetings will be held quarterly (4 times per year).</w:t>
      </w:r>
    </w:p>
    <w:p w14:paraId="40A30988" w14:textId="7A784DEB" w:rsidR="00991E0B" w:rsidRPr="00F0091C" w:rsidRDefault="00991E0B" w:rsidP="00F0091C">
      <w:pPr>
        <w:pStyle w:val="ListParagraph"/>
        <w:numPr>
          <w:ilvl w:val="0"/>
          <w:numId w:val="8"/>
        </w:numPr>
        <w:rPr>
          <w:b/>
          <w:bCs/>
        </w:rPr>
      </w:pPr>
      <w:r>
        <w:t>Meeting dates will be agreed at the first meeting of the calendar year,</w:t>
      </w:r>
    </w:p>
    <w:p w14:paraId="3413AE52" w14:textId="56469545" w:rsidR="00F0091C" w:rsidRDefault="00F0091C" w:rsidP="00F0091C">
      <w:pPr>
        <w:pStyle w:val="ListParagraph"/>
        <w:numPr>
          <w:ilvl w:val="0"/>
          <w:numId w:val="8"/>
        </w:numPr>
        <w:rPr>
          <w:b/>
          <w:bCs/>
        </w:rPr>
      </w:pPr>
      <w:r w:rsidRPr="00F0091C">
        <w:t>Virtual attendance support will be provided by the practice</w:t>
      </w:r>
      <w:r w:rsidRPr="00F0091C">
        <w:rPr>
          <w:b/>
          <w:bCs/>
        </w:rPr>
        <w:t>.</w:t>
      </w:r>
    </w:p>
    <w:p w14:paraId="0D4709F2" w14:textId="6F1BF477" w:rsidR="00991E0B" w:rsidRPr="00F0091C" w:rsidRDefault="00991E0B" w:rsidP="00F0091C">
      <w:pPr>
        <w:pStyle w:val="ListParagraph"/>
        <w:numPr>
          <w:ilvl w:val="0"/>
          <w:numId w:val="8"/>
        </w:numPr>
        <w:rPr>
          <w:b/>
          <w:bCs/>
        </w:rPr>
      </w:pPr>
      <w:r>
        <w:t>Meeting agenda will be available to Core Members 2 weeks prior to the meeting date.</w:t>
      </w:r>
    </w:p>
    <w:p w14:paraId="6484FFD6" w14:textId="77777777" w:rsidR="00136F21" w:rsidRDefault="00136F21" w:rsidP="00B9140C"/>
    <w:sectPr w:rsidR="0013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35F"/>
    <w:multiLevelType w:val="hybridMultilevel"/>
    <w:tmpl w:val="096E1F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540"/>
    <w:multiLevelType w:val="hybridMultilevel"/>
    <w:tmpl w:val="065441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74A8"/>
    <w:multiLevelType w:val="multilevel"/>
    <w:tmpl w:val="474A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75FB4"/>
    <w:multiLevelType w:val="multilevel"/>
    <w:tmpl w:val="9CE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830B6"/>
    <w:multiLevelType w:val="multilevel"/>
    <w:tmpl w:val="010C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F290D"/>
    <w:multiLevelType w:val="hybridMultilevel"/>
    <w:tmpl w:val="1C16E2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57E8"/>
    <w:multiLevelType w:val="hybridMultilevel"/>
    <w:tmpl w:val="F51604B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92970"/>
    <w:multiLevelType w:val="hybridMultilevel"/>
    <w:tmpl w:val="77544F9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93834">
    <w:abstractNumId w:val="6"/>
  </w:num>
  <w:num w:numId="2" w16cid:durableId="1304311552">
    <w:abstractNumId w:val="7"/>
  </w:num>
  <w:num w:numId="3" w16cid:durableId="1458798006">
    <w:abstractNumId w:val="0"/>
  </w:num>
  <w:num w:numId="4" w16cid:durableId="1449156072">
    <w:abstractNumId w:val="5"/>
  </w:num>
  <w:num w:numId="5" w16cid:durableId="582178455">
    <w:abstractNumId w:val="4"/>
  </w:num>
  <w:num w:numId="6" w16cid:durableId="94175549">
    <w:abstractNumId w:val="2"/>
  </w:num>
  <w:num w:numId="7" w16cid:durableId="41710499">
    <w:abstractNumId w:val="3"/>
  </w:num>
  <w:num w:numId="8" w16cid:durableId="20552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0C"/>
    <w:rsid w:val="00136F21"/>
    <w:rsid w:val="00172AB8"/>
    <w:rsid w:val="00200078"/>
    <w:rsid w:val="002C189B"/>
    <w:rsid w:val="00545262"/>
    <w:rsid w:val="00620192"/>
    <w:rsid w:val="006746C6"/>
    <w:rsid w:val="006960BB"/>
    <w:rsid w:val="008A6D90"/>
    <w:rsid w:val="00991E0B"/>
    <w:rsid w:val="00A20A22"/>
    <w:rsid w:val="00AD68B6"/>
    <w:rsid w:val="00B31ED6"/>
    <w:rsid w:val="00B9140C"/>
    <w:rsid w:val="00C645DB"/>
    <w:rsid w:val="00D34945"/>
    <w:rsid w:val="00E22009"/>
    <w:rsid w:val="00F0091C"/>
    <w:rsid w:val="00F2525B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4724BC"/>
  <w15:chartTrackingRefBased/>
  <w15:docId w15:val="{A99D8E44-072F-4A59-A4D7-8A437868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BOTELHO, Edwin (WATLING STREET PRACTICE)</dc:creator>
  <cp:keywords/>
  <dc:description/>
  <cp:lastModifiedBy>BOTELHO, Edwin (WATLING STREET PRACTICE)</cp:lastModifiedBy>
  <cp:revision>6</cp:revision>
  <dcterms:created xsi:type="dcterms:W3CDTF">2025-04-29T13:58:00Z</dcterms:created>
  <dcterms:modified xsi:type="dcterms:W3CDTF">2025-05-02T13:50:00Z</dcterms:modified>
</cp:coreProperties>
</file>